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496F9CCF"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Pr>
          <w:rFonts w:cstheme="minorHAnsi"/>
          <w:b/>
          <w:color w:val="1F497D" w:themeColor="text2"/>
          <w:sz w:val="20"/>
          <w:szCs w:val="20"/>
          <w14:textOutline w14:w="5270" w14:cap="flat" w14:cmpd="sng" w14:algn="ctr">
            <w14:noFill/>
            <w14:prstDash w14:val="solid"/>
            <w14:round/>
          </w14:textOutline>
        </w:rPr>
        <w:t>IN</w:t>
      </w:r>
      <w:r w:rsidR="00041A6E">
        <w:rPr>
          <w:rFonts w:cstheme="minorHAnsi"/>
          <w:b/>
          <w:color w:val="1F497D" w:themeColor="text2"/>
          <w:sz w:val="20"/>
          <w:szCs w:val="20"/>
          <w14:textOutline w14:w="5270" w14:cap="flat" w14:cmpd="sng" w14:algn="ctr">
            <w14:noFill/>
            <w14:prstDash w14:val="solid"/>
            <w14:round/>
          </w14:textOutline>
        </w:rPr>
        <w:t>FOGRAFÍAS: DESCUBRE EL FORMATO MÁS COMPARTIDO EN REDES SOCIALES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w:t>
      </w:r>
      <w:r w:rsidR="00041A6E">
        <w:rPr>
          <w:rFonts w:cstheme="minorHAnsi"/>
          <w:b/>
          <w:color w:val="1F497D" w:themeColor="text2"/>
          <w:sz w:val="20"/>
          <w:szCs w:val="20"/>
          <w14:textOutline w14:w="5270" w14:cap="flat" w14:cmpd="sng" w14:algn="ctr">
            <w14:noFill/>
            <w14:prstDash w14:val="solid"/>
            <w14:round/>
          </w14:textOutline>
        </w:rPr>
        <w:t>2 de septiembre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041A6E"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041A6E"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041A6E"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041A6E"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041A6E"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041A6E"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041A6E"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041A6E"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041A6E"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041A6E"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10A0A270" w:rsidR="008014CD" w:rsidRPr="002F6830" w:rsidRDefault="00041A6E"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041A6E"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041A6E"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041A6E"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041A6E"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041A6E"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41A6E"/>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2022-06-06T13:55:00Z</dcterms:created>
  <dcterms:modified xsi:type="dcterms:W3CDTF">2022-07-14T07:39:00Z</dcterms:modified>
</cp:coreProperties>
</file>