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4E097AED"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832829">
        <w:rPr>
          <w:rFonts w:cstheme="minorHAnsi"/>
          <w:b/>
          <w:color w:val="1F497D" w:themeColor="text2"/>
          <w:sz w:val="20"/>
          <w:szCs w:val="20"/>
          <w14:textOutline w14:w="5270" w14:cap="flat" w14:cmpd="sng" w14:algn="ctr">
            <w14:noFill/>
            <w14:prstDash w14:val="solid"/>
            <w14:round/>
          </w14:textOutline>
        </w:rPr>
        <w:t>FOTOGRAFÍA DE PRODUCTO PARA TU VENTA ONLINE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832829">
        <w:rPr>
          <w:rFonts w:cstheme="minorHAnsi"/>
          <w:b/>
          <w:color w:val="1F497D" w:themeColor="text2"/>
          <w:sz w:val="20"/>
          <w:szCs w:val="20"/>
          <w14:textOutline w14:w="5270" w14:cap="flat" w14:cmpd="sng" w14:algn="ctr">
            <w14:noFill/>
            <w14:prstDash w14:val="solid"/>
            <w14:round/>
          </w14:textOutline>
        </w:rPr>
        <w:t>11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832829"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832829"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832829"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832829"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832829"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832829"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832829"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832829"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832829"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832829"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832829"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832829"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832829"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832829"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832829"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32829"/>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2022-10-21T07:10:00Z</dcterms:modified>
</cp:coreProperties>
</file>